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04E" w:rsidRDefault="00C0604E" w:rsidP="00C0604E">
      <w:pPr>
        <w:pStyle w:val="3"/>
        <w:tabs>
          <w:tab w:val="left" w:pos="851"/>
          <w:tab w:val="left" w:pos="993"/>
          <w:tab w:val="left" w:pos="1134"/>
        </w:tabs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C0604E" w:rsidRDefault="00C0604E" w:rsidP="00C0604E">
      <w:pPr>
        <w:pStyle w:val="3"/>
        <w:tabs>
          <w:tab w:val="left" w:pos="851"/>
          <w:tab w:val="left" w:pos="993"/>
          <w:tab w:val="left" w:pos="1134"/>
        </w:tabs>
        <w:jc w:val="right"/>
      </w:pPr>
      <w:r>
        <w:t>приказу БУЗ ВО «ВОСПК № 1» от 31.08.2018г.№76</w:t>
      </w:r>
    </w:p>
    <w:p w:rsidR="00C0604E" w:rsidRDefault="00C0604E" w:rsidP="00C0604E">
      <w:pPr>
        <w:pStyle w:val="3"/>
        <w:tabs>
          <w:tab w:val="left" w:pos="851"/>
          <w:tab w:val="left" w:pos="993"/>
          <w:tab w:val="left" w:pos="1134"/>
        </w:tabs>
        <w:ind w:left="652"/>
        <w:jc w:val="center"/>
        <w:rPr>
          <w:b/>
        </w:rPr>
      </w:pPr>
      <w:r>
        <w:rPr>
          <w:b/>
        </w:rPr>
        <w:t>П</w:t>
      </w:r>
      <w:r w:rsidRPr="006100FB">
        <w:rPr>
          <w:b/>
        </w:rPr>
        <w:t>лан</w:t>
      </w:r>
      <w:r>
        <w:rPr>
          <w:b/>
        </w:rPr>
        <w:t xml:space="preserve"> мероприятий по</w:t>
      </w:r>
      <w:r w:rsidRPr="006100FB">
        <w:rPr>
          <w:b/>
        </w:rPr>
        <w:t xml:space="preserve"> противодействи</w:t>
      </w:r>
      <w:r>
        <w:rPr>
          <w:b/>
        </w:rPr>
        <w:t>ю</w:t>
      </w:r>
      <w:r w:rsidRPr="006100FB">
        <w:rPr>
          <w:b/>
        </w:rPr>
        <w:t xml:space="preserve"> коррупции </w:t>
      </w:r>
      <w:proofErr w:type="gramStart"/>
      <w:r>
        <w:rPr>
          <w:b/>
        </w:rPr>
        <w:t>в</w:t>
      </w:r>
      <w:proofErr w:type="gramEnd"/>
    </w:p>
    <w:p w:rsidR="00C0604E" w:rsidRPr="006100FB" w:rsidRDefault="00C0604E" w:rsidP="00C0604E">
      <w:pPr>
        <w:pStyle w:val="3"/>
        <w:tabs>
          <w:tab w:val="left" w:pos="851"/>
          <w:tab w:val="left" w:pos="993"/>
          <w:tab w:val="left" w:pos="1134"/>
        </w:tabs>
        <w:ind w:left="652"/>
        <w:jc w:val="center"/>
        <w:rPr>
          <w:b/>
        </w:rPr>
      </w:pPr>
      <w:r>
        <w:rPr>
          <w:b/>
        </w:rPr>
        <w:t xml:space="preserve">БУЗ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«Вологодская областная станция переливания крови № 1»</w:t>
      </w:r>
      <w:r w:rsidRPr="002875F2">
        <w:rPr>
          <w:b/>
        </w:rPr>
        <w:t xml:space="preserve"> </w:t>
      </w:r>
      <w:r w:rsidRPr="006100FB">
        <w:rPr>
          <w:b/>
        </w:rPr>
        <w:t xml:space="preserve">на </w:t>
      </w:r>
      <w:r>
        <w:rPr>
          <w:b/>
        </w:rPr>
        <w:t>2018</w:t>
      </w:r>
      <w:r w:rsidRPr="006100FB">
        <w:rPr>
          <w:b/>
        </w:rPr>
        <w:t xml:space="preserve"> </w:t>
      </w:r>
      <w:r>
        <w:rPr>
          <w:b/>
        </w:rPr>
        <w:t>-2020г.</w:t>
      </w:r>
      <w:r w:rsidRPr="006100FB">
        <w:rPr>
          <w:b/>
        </w:rPr>
        <w:t>г</w:t>
      </w:r>
      <w:r>
        <w:rPr>
          <w:b/>
        </w:rPr>
        <w:t>.</w:t>
      </w:r>
    </w:p>
    <w:p w:rsidR="00C0604E" w:rsidRDefault="00C0604E" w:rsidP="00C0604E">
      <w:pPr>
        <w:pStyle w:val="3"/>
        <w:tabs>
          <w:tab w:val="left" w:pos="851"/>
          <w:tab w:val="left" w:pos="993"/>
          <w:tab w:val="left" w:pos="1134"/>
        </w:tabs>
        <w:ind w:left="652"/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640"/>
        <w:gridCol w:w="2700"/>
        <w:gridCol w:w="3060"/>
      </w:tblGrid>
      <w:tr w:rsidR="00C0604E" w:rsidRPr="006100FB" w:rsidTr="007F0EC9">
        <w:tc>
          <w:tcPr>
            <w:tcW w:w="828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3A8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3A8B">
              <w:rPr>
                <w:b/>
                <w:sz w:val="24"/>
                <w:szCs w:val="24"/>
              </w:rPr>
              <w:t>/</w:t>
            </w:r>
            <w:proofErr w:type="spellStart"/>
            <w:r w:rsidRPr="00B53A8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40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Название </w:t>
            </w:r>
            <w:r w:rsidRPr="00B53A8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700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 xml:space="preserve">Срок </w:t>
            </w:r>
            <w:r>
              <w:rPr>
                <w:b/>
                <w:sz w:val="24"/>
                <w:szCs w:val="24"/>
              </w:rPr>
              <w:t>выполнения</w:t>
            </w:r>
          </w:p>
        </w:tc>
        <w:tc>
          <w:tcPr>
            <w:tcW w:w="3060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B53A8B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400" w:type="dxa"/>
            <w:gridSpan w:val="3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Организационно-методическое и правовое обеспечение </w:t>
            </w:r>
            <w:r w:rsidRPr="006C4816">
              <w:rPr>
                <w:b/>
                <w:sz w:val="24"/>
                <w:szCs w:val="24"/>
              </w:rPr>
              <w:t>учреждения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Pr="006C4816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640" w:type="dxa"/>
          </w:tcPr>
          <w:p w:rsidR="00C0604E" w:rsidRPr="00AE5596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 w:rsidRPr="006C4816">
              <w:rPr>
                <w:sz w:val="24"/>
                <w:szCs w:val="24"/>
              </w:rPr>
              <w:t>Разработка и принятие правовых актов, регламентирующих вопросы предупреждения и противодействия коррупции в учреждении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0604E" w:rsidRPr="007B341D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Pr="006C4816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положения в трудовые договоры и должностные инструкции работников учреждения</w:t>
            </w:r>
          </w:p>
        </w:tc>
        <w:tc>
          <w:tcPr>
            <w:tcW w:w="2700" w:type="dxa"/>
          </w:tcPr>
          <w:p w:rsidR="00C0604E" w:rsidRPr="006C4816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3060" w:type="dxa"/>
          </w:tcPr>
          <w:p w:rsidR="00C0604E" w:rsidRPr="006C4816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400" w:type="dxa"/>
            <w:gridSpan w:val="3"/>
          </w:tcPr>
          <w:p w:rsidR="00C0604E" w:rsidRPr="006C4816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C4816">
              <w:rPr>
                <w:b/>
                <w:sz w:val="24"/>
                <w:szCs w:val="24"/>
              </w:rPr>
              <w:t>Антикоррупционное</w:t>
            </w:r>
            <w:proofErr w:type="spellEnd"/>
            <w:r w:rsidRPr="006C4816">
              <w:rPr>
                <w:b/>
                <w:sz w:val="24"/>
                <w:szCs w:val="24"/>
              </w:rPr>
              <w:t xml:space="preserve"> образование, пропаганда </w:t>
            </w:r>
            <w:proofErr w:type="spellStart"/>
            <w:r w:rsidRPr="006C4816">
              <w:rPr>
                <w:b/>
                <w:sz w:val="24"/>
                <w:szCs w:val="24"/>
              </w:rPr>
              <w:t>антикоррупционного</w:t>
            </w:r>
            <w:proofErr w:type="spellEnd"/>
            <w:r w:rsidRPr="006C4816">
              <w:rPr>
                <w:b/>
                <w:sz w:val="24"/>
                <w:szCs w:val="24"/>
              </w:rPr>
              <w:t xml:space="preserve"> поведения. Информирование общества о мерах, принимаемых учреждением в целях противодействия коррупции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640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обучающих мероприятиях по вопросам профилактики и противодействия </w:t>
            </w:r>
            <w:proofErr w:type="gramStart"/>
            <w:r>
              <w:rPr>
                <w:sz w:val="24"/>
                <w:szCs w:val="24"/>
              </w:rPr>
              <w:t>коррупции лиц</w:t>
            </w:r>
            <w:proofErr w:type="gramEnd"/>
            <w:r>
              <w:rPr>
                <w:sz w:val="24"/>
                <w:szCs w:val="24"/>
              </w:rPr>
              <w:t xml:space="preserve">, ответственных за работу по профилактике коррупционных и иных правонарушений в учреждении </w:t>
            </w:r>
          </w:p>
        </w:tc>
        <w:tc>
          <w:tcPr>
            <w:tcW w:w="2700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C0604E" w:rsidRPr="001F787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color w:val="000000"/>
                <w:spacing w:val="2"/>
                <w:sz w:val="24"/>
                <w:szCs w:val="24"/>
              </w:rPr>
            </w:pPr>
            <w:r w:rsidRPr="001F787B">
              <w:rPr>
                <w:color w:val="000000"/>
                <w:spacing w:val="2"/>
                <w:sz w:val="24"/>
                <w:szCs w:val="24"/>
              </w:rPr>
              <w:t>Главный врач,</w:t>
            </w:r>
          </w:p>
          <w:p w:rsidR="00C0604E" w:rsidRPr="001F787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F787B">
              <w:rPr>
                <w:color w:val="000000"/>
                <w:spacing w:val="2"/>
                <w:sz w:val="24"/>
                <w:szCs w:val="24"/>
              </w:rPr>
              <w:t xml:space="preserve">заместители главного врача 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640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 (информирование работников об уголовной ответственности за поучение и дачу взятки, 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интересов, обязанности об уведомлении работодателя об обращениях в целях склонения к совершению коррупционных правонарушений).</w:t>
            </w:r>
          </w:p>
        </w:tc>
        <w:tc>
          <w:tcPr>
            <w:tcW w:w="2700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C0604E" w:rsidRPr="001F787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F787B">
              <w:rPr>
                <w:color w:val="000000"/>
                <w:spacing w:val="2"/>
                <w:sz w:val="24"/>
                <w:szCs w:val="24"/>
              </w:rPr>
              <w:t>Ответственные     лица,     наделенные     функциями     по</w:t>
            </w:r>
            <w:r w:rsidRPr="001F787B">
              <w:rPr>
                <w:color w:val="000000"/>
                <w:spacing w:val="2"/>
                <w:sz w:val="24"/>
                <w:szCs w:val="24"/>
              </w:rPr>
              <w:br/>
            </w:r>
            <w:r w:rsidRPr="001F787B">
              <w:rPr>
                <w:color w:val="000000"/>
                <w:sz w:val="24"/>
                <w:szCs w:val="24"/>
              </w:rPr>
              <w:t>предупреждению коррупционных действий в учреждении</w:t>
            </w:r>
          </w:p>
        </w:tc>
      </w:tr>
      <w:tr w:rsidR="00C0604E" w:rsidRPr="006100FB" w:rsidTr="00C0604E">
        <w:trPr>
          <w:trHeight w:val="1286"/>
        </w:trPr>
        <w:tc>
          <w:tcPr>
            <w:tcW w:w="828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640" w:type="dxa"/>
          </w:tcPr>
          <w:p w:rsidR="00C0604E" w:rsidRPr="00C0604E" w:rsidRDefault="00C0604E" w:rsidP="00C0604E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spacing w:before="1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Размещение на информационных стендах, официальном сайте учреждения графика приема </w:t>
            </w:r>
            <w:r w:rsidRPr="00C0604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граждан руководством и должностными лицами департамента здравоохранения Вологодской области,</w:t>
            </w:r>
            <w:r w:rsidRPr="00C0604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телефонов «горячей линии»</w:t>
            </w:r>
            <w:r w:rsidRPr="00C0604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br/>
            </w:r>
            <w:r w:rsidRPr="00C0604E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департамента. Обновление по мере необходимости.</w:t>
            </w:r>
          </w:p>
        </w:tc>
        <w:tc>
          <w:tcPr>
            <w:tcW w:w="2700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C0604E" w:rsidRPr="001F787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F787B">
              <w:rPr>
                <w:color w:val="000000"/>
                <w:spacing w:val="2"/>
                <w:sz w:val="24"/>
                <w:szCs w:val="24"/>
              </w:rPr>
              <w:t>Ответственные     лица,     наделенные     функциями     по</w:t>
            </w:r>
            <w:r w:rsidRPr="001F787B">
              <w:rPr>
                <w:color w:val="000000"/>
                <w:spacing w:val="2"/>
                <w:sz w:val="24"/>
                <w:szCs w:val="24"/>
              </w:rPr>
              <w:br/>
            </w:r>
            <w:r w:rsidRPr="001F787B">
              <w:rPr>
                <w:color w:val="000000"/>
                <w:sz w:val="24"/>
                <w:szCs w:val="24"/>
              </w:rPr>
              <w:t>предупреждению коррупционных действий в учреждении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640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мероприятий в учреждении,  посвященных </w:t>
            </w:r>
            <w:r>
              <w:rPr>
                <w:sz w:val="24"/>
                <w:szCs w:val="24"/>
              </w:rPr>
              <w:lastRenderedPageBreak/>
              <w:t>Международному дню борьбы с коррупцией</w:t>
            </w:r>
          </w:p>
        </w:tc>
        <w:tc>
          <w:tcPr>
            <w:tcW w:w="2700" w:type="dxa"/>
          </w:tcPr>
          <w:p w:rsidR="00C0604E" w:rsidRPr="00B53A8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 9 декабря</w:t>
            </w:r>
          </w:p>
        </w:tc>
        <w:tc>
          <w:tcPr>
            <w:tcW w:w="3060" w:type="dxa"/>
          </w:tcPr>
          <w:p w:rsidR="00C0604E" w:rsidRPr="001F787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F787B">
              <w:rPr>
                <w:color w:val="000000"/>
                <w:spacing w:val="2"/>
                <w:sz w:val="24"/>
                <w:szCs w:val="24"/>
              </w:rPr>
              <w:t xml:space="preserve">Ответственные     лица,     </w:t>
            </w:r>
            <w:r w:rsidRPr="001F787B">
              <w:rPr>
                <w:color w:val="000000"/>
                <w:spacing w:val="2"/>
                <w:sz w:val="24"/>
                <w:szCs w:val="24"/>
              </w:rPr>
              <w:lastRenderedPageBreak/>
              <w:t>наделенные     функциями     по</w:t>
            </w:r>
            <w:r w:rsidRPr="001F787B">
              <w:rPr>
                <w:color w:val="000000"/>
                <w:spacing w:val="2"/>
                <w:sz w:val="24"/>
                <w:szCs w:val="24"/>
              </w:rPr>
              <w:br/>
            </w:r>
            <w:r w:rsidRPr="001F787B">
              <w:rPr>
                <w:color w:val="000000"/>
                <w:sz w:val="24"/>
                <w:szCs w:val="24"/>
              </w:rPr>
              <w:t>предупреждению коррупционных действий в учреждении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практике.</w:t>
            </w:r>
          </w:p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в учреждении «горячей линии» по вопросам противодействия коррупции.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C0604E" w:rsidRPr="001F787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F787B">
              <w:rPr>
                <w:sz w:val="24"/>
                <w:szCs w:val="24"/>
              </w:rPr>
              <w:t xml:space="preserve">Члены комиссии по соблюдению требований к служебному поведению и урегулированию конфликтов интересов </w:t>
            </w:r>
          </w:p>
          <w:p w:rsidR="00C0604E" w:rsidRPr="001F787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F787B">
              <w:rPr>
                <w:sz w:val="24"/>
                <w:szCs w:val="24"/>
              </w:rPr>
              <w:t>БУЗ ВО «ВОСПК № 1»</w:t>
            </w:r>
          </w:p>
        </w:tc>
      </w:tr>
      <w:tr w:rsidR="00C0604E" w:rsidRPr="005B26D9" w:rsidTr="007F0EC9">
        <w:tc>
          <w:tcPr>
            <w:tcW w:w="828" w:type="dxa"/>
          </w:tcPr>
          <w:p w:rsidR="00C0604E" w:rsidRPr="005B26D9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5B26D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400" w:type="dxa"/>
            <w:gridSpan w:val="3"/>
          </w:tcPr>
          <w:p w:rsidR="00C0604E" w:rsidRPr="005B26D9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5B26D9">
              <w:rPr>
                <w:b/>
                <w:sz w:val="24"/>
                <w:szCs w:val="24"/>
              </w:rPr>
              <w:t xml:space="preserve">Внедрение </w:t>
            </w:r>
            <w:proofErr w:type="spellStart"/>
            <w:r w:rsidRPr="005B26D9">
              <w:rPr>
                <w:b/>
                <w:sz w:val="24"/>
                <w:szCs w:val="24"/>
              </w:rPr>
              <w:t>антикоррупционных</w:t>
            </w:r>
            <w:proofErr w:type="spellEnd"/>
            <w:r w:rsidRPr="005B26D9">
              <w:rPr>
                <w:b/>
                <w:sz w:val="24"/>
                <w:szCs w:val="24"/>
              </w:rPr>
              <w:t xml:space="preserve"> механизмов в деятельность учре</w:t>
            </w:r>
            <w:r>
              <w:rPr>
                <w:b/>
                <w:sz w:val="24"/>
                <w:szCs w:val="24"/>
              </w:rPr>
              <w:t>ж</w:t>
            </w:r>
            <w:r w:rsidRPr="005B26D9">
              <w:rPr>
                <w:b/>
                <w:sz w:val="24"/>
                <w:szCs w:val="24"/>
              </w:rPr>
              <w:t>дения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правоохранительными органами области в целях получения оперативной информации о фактах проявления коррупции</w:t>
            </w:r>
          </w:p>
        </w:tc>
        <w:tc>
          <w:tcPr>
            <w:tcW w:w="2700" w:type="dxa"/>
          </w:tcPr>
          <w:p w:rsidR="00C0604E" w:rsidRPr="00515D2D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515D2D">
              <w:rPr>
                <w:sz w:val="22"/>
                <w:szCs w:val="22"/>
              </w:rPr>
              <w:t>В течение года по результатам поступления информации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F787B">
              <w:rPr>
                <w:color w:val="000000"/>
                <w:spacing w:val="2"/>
                <w:sz w:val="24"/>
                <w:szCs w:val="24"/>
              </w:rPr>
              <w:t xml:space="preserve">Ответственные     лица,     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наделенные     функциями     по </w:t>
            </w:r>
            <w:r w:rsidRPr="001F787B">
              <w:rPr>
                <w:color w:val="000000"/>
                <w:sz w:val="24"/>
                <w:szCs w:val="24"/>
              </w:rPr>
              <w:t>предупреждению коррупционных действий в учреждении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1F787B">
              <w:rPr>
                <w:color w:val="000000"/>
                <w:spacing w:val="2"/>
                <w:sz w:val="24"/>
                <w:szCs w:val="24"/>
              </w:rPr>
              <w:t>Ответственные     лица,     наделенные     функциями     по</w:t>
            </w:r>
            <w:r w:rsidRPr="001F787B">
              <w:rPr>
                <w:color w:val="000000"/>
                <w:spacing w:val="2"/>
                <w:sz w:val="24"/>
                <w:szCs w:val="24"/>
              </w:rPr>
              <w:br/>
            </w:r>
            <w:r w:rsidRPr="001F787B">
              <w:rPr>
                <w:color w:val="000000"/>
                <w:sz w:val="24"/>
                <w:szCs w:val="24"/>
              </w:rPr>
              <w:t>предупреждению коррупционных действий в учреждении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до 30 апреля года, следующего за </w:t>
            </w:r>
            <w:proofErr w:type="gramStart"/>
            <w:r>
              <w:rPr>
                <w:sz w:val="24"/>
                <w:szCs w:val="24"/>
              </w:rPr>
              <w:t>отчётным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Pr="00232DB9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Pr="00232DB9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частью 4 статьи 12 Федерального закона от 25 декабря 2008 года №273-ФЗ «О противодействии коррупции»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Pr="00232DB9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Соблюдение ограничений, установленных статьей 74 Федерального закона от 21 ноября 2011 года № 323-ФЗ «Об основах охраны здоровья граждан в Российской </w:t>
            </w:r>
            <w:r>
              <w:rPr>
                <w:sz w:val="24"/>
                <w:szCs w:val="24"/>
              </w:rPr>
              <w:lastRenderedPageBreak/>
              <w:t>Федерации»</w:t>
            </w:r>
          </w:p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Pr="00232DB9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3.9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требований, установленных статьей 75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использования специального программного обеспечения «Справки БК» главным врачом.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 января 2019г</w:t>
            </w:r>
          </w:p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Учреждение</w:t>
            </w:r>
          </w:p>
        </w:tc>
      </w:tr>
      <w:tr w:rsidR="00C0604E" w:rsidRPr="006100FB" w:rsidTr="007F0EC9">
        <w:trPr>
          <w:trHeight w:val="597"/>
        </w:trPr>
        <w:tc>
          <w:tcPr>
            <w:tcW w:w="828" w:type="dxa"/>
          </w:tcPr>
          <w:p w:rsidR="00C0604E" w:rsidRPr="00232DB9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4400" w:type="dxa"/>
            <w:gridSpan w:val="3"/>
          </w:tcPr>
          <w:p w:rsidR="00C0604E" w:rsidRPr="007774E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Pr="00232DB9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640" w:type="dxa"/>
          </w:tcPr>
          <w:p w:rsidR="00C0604E" w:rsidRPr="00384429" w:rsidRDefault="00C0604E" w:rsidP="00C0604E">
            <w:pPr>
              <w:shd w:val="clear" w:color="auto" w:fill="FFFFFF"/>
              <w:spacing w:line="240" w:lineRule="auto"/>
              <w:ind w:right="6"/>
              <w:contextualSpacing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C0604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Организация систематического </w:t>
            </w:r>
            <w:proofErr w:type="gramStart"/>
            <w:r w:rsidRPr="00C0604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контроля за</w:t>
            </w:r>
            <w:proofErr w:type="gramEnd"/>
            <w:r w:rsidRPr="00C0604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 качественным  исполнением всех требований </w:t>
            </w:r>
            <w:r w:rsidRPr="00C0604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Федерального закона от 05 апреля 2013 года № 44-ФЗ «О контрактной системе в</w:t>
            </w:r>
            <w:r w:rsidRPr="00C0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сфере   закупок   товаров,   работ,   услуг   для   обеспечения   государственных   и </w:t>
            </w:r>
            <w:r w:rsidRPr="00C060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муниципальных нужд».</w:t>
            </w:r>
            <w:r w:rsidRPr="00C0604E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 раз в полгода проведение анализа работы по контрактной службе в учреждении</w:t>
            </w:r>
            <w:r w:rsidRPr="00384429">
              <w:rPr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C0604E" w:rsidRPr="00384429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4429">
              <w:rPr>
                <w:color w:val="000000"/>
                <w:spacing w:val="5"/>
                <w:sz w:val="24"/>
                <w:szCs w:val="24"/>
              </w:rPr>
              <w:t>Заместитель главного врача  по экономическим вопросам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Pr="00232DB9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640" w:type="dxa"/>
          </w:tcPr>
          <w:p w:rsidR="00C0604E" w:rsidRPr="00C0604E" w:rsidRDefault="00C0604E" w:rsidP="00C0604E">
            <w:pPr>
              <w:shd w:val="clear" w:color="auto" w:fill="FFFFFF"/>
              <w:spacing w:line="240" w:lineRule="auto"/>
              <w:ind w:right="6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gramStart"/>
            <w:r w:rsidRPr="00C060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Проведение анализа стоимости приобретённых товаров, выполненных работ, оказанных услуг со сложившимися на территории Вологодской области ценами на аналогичные товары, работы, услуги при </w:t>
            </w:r>
            <w:proofErr w:type="spellStart"/>
            <w:r w:rsidRPr="00C060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расховании</w:t>
            </w:r>
            <w:proofErr w:type="spellEnd"/>
            <w:r w:rsidRPr="00C060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бюджетных средств по государственным контрактам, договорам, заключённым при осуществлении закупок у единственного поставщика.</w:t>
            </w:r>
            <w:proofErr w:type="gramEnd"/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4429">
              <w:rPr>
                <w:color w:val="000000"/>
                <w:spacing w:val="5"/>
                <w:sz w:val="24"/>
                <w:szCs w:val="24"/>
              </w:rPr>
              <w:t>Заместитель главного врача  по экономическим вопросам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Pr="00232DB9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контроля за получением, учетом, хранением, заполнением и порядком выдачи документов государственного образца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Контроль за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</w:tr>
      <w:tr w:rsidR="00C0604E" w:rsidRPr="006100FB" w:rsidTr="00C0604E">
        <w:trPr>
          <w:trHeight w:val="277"/>
        </w:trPr>
        <w:tc>
          <w:tcPr>
            <w:tcW w:w="828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640" w:type="dxa"/>
          </w:tcPr>
          <w:p w:rsidR="00C0604E" w:rsidRPr="00C0604E" w:rsidRDefault="00C0604E" w:rsidP="00C0604E">
            <w:pPr>
              <w:shd w:val="clear" w:color="auto" w:fill="FFFFFF"/>
              <w:spacing w:line="240" w:lineRule="auto"/>
              <w:ind w:right="6"/>
              <w:contextualSpacing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C060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Проведение перерасчёта цен на оказываемые учреждением платные медицинские услуги, стоимость компонентов и препаратов из донорской  крови, выпускаемых учреждением, с учётом накладных расходов текущего года. В требуемые сроки уведомление юридических и физических лица об изменении цен на оказываемые услуги и производимую продукцию.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 декабря текущего года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4429">
              <w:rPr>
                <w:color w:val="000000"/>
                <w:spacing w:val="5"/>
                <w:sz w:val="24"/>
                <w:szCs w:val="24"/>
              </w:rPr>
              <w:t>Заместитель главного врача  по экономическим вопросам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Pr="00232DB9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целевым использованием бюджетных средств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</w:tr>
      <w:tr w:rsidR="00C0604E" w:rsidRPr="006100FB" w:rsidTr="00C0604E">
        <w:trPr>
          <w:trHeight w:val="945"/>
        </w:trPr>
        <w:tc>
          <w:tcPr>
            <w:tcW w:w="828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4.6.</w:t>
            </w:r>
          </w:p>
        </w:tc>
        <w:tc>
          <w:tcPr>
            <w:tcW w:w="8640" w:type="dxa"/>
          </w:tcPr>
          <w:p w:rsidR="00C0604E" w:rsidRPr="00C0604E" w:rsidRDefault="00C0604E" w:rsidP="00C0604E">
            <w:pPr>
              <w:shd w:val="clear" w:color="auto" w:fill="FFFFFF"/>
              <w:spacing w:line="240" w:lineRule="auto"/>
              <w:ind w:right="6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C0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C060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действиями материально-ответственных лиц учреждения, которые связанны с учетом материальных ценностей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бухгалтер,</w:t>
            </w:r>
          </w:p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главная медицинская сестра</w:t>
            </w:r>
          </w:p>
        </w:tc>
      </w:tr>
      <w:tr w:rsidR="00C0604E" w:rsidRPr="007774EB" w:rsidTr="007F0EC9">
        <w:tc>
          <w:tcPr>
            <w:tcW w:w="828" w:type="dxa"/>
          </w:tcPr>
          <w:p w:rsidR="00C0604E" w:rsidRPr="007774E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400" w:type="dxa"/>
            <w:gridSpan w:val="3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  <w:r w:rsidRPr="007774EB">
              <w:rPr>
                <w:b/>
                <w:sz w:val="24"/>
                <w:szCs w:val="24"/>
              </w:rPr>
              <w:t>Иные меры по профилактике коррупции и повышению эффективности противодействия коррупции</w:t>
            </w:r>
          </w:p>
          <w:p w:rsidR="00C0604E" w:rsidRPr="007774EB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C0604E" w:rsidRPr="006100FB" w:rsidTr="007F0EC9">
        <w:tc>
          <w:tcPr>
            <w:tcW w:w="828" w:type="dxa"/>
          </w:tcPr>
          <w:p w:rsidR="00C0604E" w:rsidRPr="00232DB9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60" w:type="dxa"/>
          </w:tcPr>
          <w:p w:rsidR="00C0604E" w:rsidRPr="003F108A" w:rsidRDefault="00C0604E" w:rsidP="007F0EC9">
            <w:pPr>
              <w:shd w:val="clear" w:color="auto" w:fill="FFFFFF"/>
              <w:tabs>
                <w:tab w:val="left" w:pos="1051"/>
              </w:tabs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3F108A">
              <w:rPr>
                <w:color w:val="000000"/>
                <w:spacing w:val="2"/>
                <w:sz w:val="24"/>
                <w:szCs w:val="24"/>
              </w:rPr>
              <w:t>Заместитель главного врача по медицинской части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Pr="00232DB9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contextualSpacing/>
              <w:jc w:val="center"/>
              <w:rPr>
                <w:sz w:val="24"/>
                <w:szCs w:val="24"/>
              </w:rPr>
            </w:pPr>
            <w:r w:rsidRPr="001F787B">
              <w:rPr>
                <w:color w:val="000000"/>
                <w:spacing w:val="2"/>
                <w:sz w:val="24"/>
                <w:szCs w:val="24"/>
              </w:rPr>
              <w:t>Ответственные     лица,     наделенные     функциями     по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1F787B">
              <w:rPr>
                <w:color w:val="000000"/>
                <w:sz w:val="24"/>
                <w:szCs w:val="24"/>
              </w:rPr>
              <w:t>предупреждению коррупционных действий в учреждении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Pr="00232DB9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качества предоставляемых услуг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 по службе качества учреждения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порядка предоставления платных услуг учреждением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4429">
              <w:rPr>
                <w:color w:val="000000"/>
                <w:spacing w:val="5"/>
                <w:sz w:val="24"/>
                <w:szCs w:val="24"/>
              </w:rPr>
              <w:t>Заместитель главного врача  по экономическим вопросам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 обновление информации о перечне и содержании платных и бесплатных услуг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384429">
              <w:rPr>
                <w:color w:val="000000"/>
                <w:spacing w:val="5"/>
                <w:sz w:val="24"/>
                <w:szCs w:val="24"/>
              </w:rPr>
              <w:t>Заместитель главного врача  по экономическим вопросам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отчета о проводимой работе в сфере противодействия коррупции в учреждении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20 ноября 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</w:tr>
      <w:tr w:rsidR="00C0604E" w:rsidRPr="006100FB" w:rsidTr="007F0EC9">
        <w:tc>
          <w:tcPr>
            <w:tcW w:w="828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864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размещения ежегодного отчёта о выполнении плана противодействия коррупции в информационно-телекоммуникационной сети «Интернет» на официальном сайте учреждения в разделе «Противодействие коррупции»</w:t>
            </w:r>
          </w:p>
        </w:tc>
        <w:tc>
          <w:tcPr>
            <w:tcW w:w="270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до 1 февраля года, следующего за отчётным годом</w:t>
            </w:r>
          </w:p>
        </w:tc>
        <w:tc>
          <w:tcPr>
            <w:tcW w:w="3060" w:type="dxa"/>
          </w:tcPr>
          <w:p w:rsidR="00C0604E" w:rsidRDefault="00C0604E" w:rsidP="007F0EC9">
            <w:pPr>
              <w:pStyle w:val="3"/>
              <w:tabs>
                <w:tab w:val="left" w:pos="851"/>
                <w:tab w:val="left" w:pos="993"/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</w:t>
            </w:r>
          </w:p>
        </w:tc>
      </w:tr>
    </w:tbl>
    <w:p w:rsidR="00C0604E" w:rsidRPr="009136E3" w:rsidRDefault="00C0604E" w:rsidP="00C0604E">
      <w:pPr>
        <w:pStyle w:val="3"/>
        <w:tabs>
          <w:tab w:val="left" w:pos="851"/>
          <w:tab w:val="left" w:pos="993"/>
          <w:tab w:val="left" w:pos="1134"/>
        </w:tabs>
        <w:ind w:left="652"/>
        <w:jc w:val="center"/>
      </w:pPr>
    </w:p>
    <w:sectPr w:rsidR="00C0604E" w:rsidRPr="009136E3" w:rsidSect="00E66E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0BB1"/>
    <w:rsid w:val="000F7099"/>
    <w:rsid w:val="003B6C19"/>
    <w:rsid w:val="007C0BB1"/>
    <w:rsid w:val="00C0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7C0B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7C0BB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1197</Words>
  <Characters>6825</Characters>
  <Application>Microsoft Office Word</Application>
  <DocSecurity>0</DocSecurity>
  <Lines>56</Lines>
  <Paragraphs>16</Paragraphs>
  <ScaleCrop>false</ScaleCrop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2018-09-06T07:43:00Z</dcterms:created>
  <dcterms:modified xsi:type="dcterms:W3CDTF">2018-09-06T07:49:00Z</dcterms:modified>
</cp:coreProperties>
</file>